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5277" w:rsidRPr="00267667" w:rsidRDefault="00F95277" w:rsidP="00F95277">
      <w:pPr>
        <w:spacing w:line="380" w:lineRule="exact"/>
        <w:jc w:val="center"/>
        <w:rPr>
          <w:rFonts w:ascii="UD デジタル 教科書体 NP-B" w:eastAsia="UD デジタル 教科書体 NP-B" w:hAnsi="HG丸ｺﾞｼｯｸM-PRO"/>
          <w:b/>
          <w:color w:val="000000" w:themeColor="text1"/>
        </w:rPr>
      </w:pPr>
      <w:r w:rsidRPr="00267667">
        <w:rPr>
          <w:rFonts w:ascii="UD デジタル 教科書体 NP-B" w:eastAsia="UD デジタル 教科書体 NP-B" w:hAnsi="HG丸ｺﾞｼｯｸM-PRO" w:hint="eastAsia"/>
          <w:b/>
          <w:color w:val="000000" w:themeColor="text1"/>
          <w:sz w:val="32"/>
          <w:szCs w:val="32"/>
        </w:rPr>
        <w:t>合理的配慮シート（学校）</w:t>
      </w:r>
    </w:p>
    <w:p w:rsidR="00F95277" w:rsidRDefault="00F95277" w:rsidP="00F95277">
      <w:pPr>
        <w:spacing w:line="100" w:lineRule="exact"/>
      </w:pPr>
    </w:p>
    <w:tbl>
      <w:tblPr>
        <w:tblStyle w:val="a3"/>
        <w:tblpPr w:leftFromText="142" w:rightFromText="142" w:vertAnchor="text" w:horzAnchor="margin" w:tblpY="139"/>
        <w:tblW w:w="0" w:type="auto"/>
        <w:tblLook w:val="04A0" w:firstRow="1" w:lastRow="0" w:firstColumn="1" w:lastColumn="0" w:noHBand="0" w:noVBand="1"/>
      </w:tblPr>
      <w:tblGrid>
        <w:gridCol w:w="946"/>
        <w:gridCol w:w="1828"/>
        <w:gridCol w:w="713"/>
        <w:gridCol w:w="840"/>
        <w:gridCol w:w="702"/>
        <w:gridCol w:w="2592"/>
        <w:gridCol w:w="992"/>
        <w:gridCol w:w="993"/>
      </w:tblGrid>
      <w:tr w:rsidR="00F95277" w:rsidRPr="00B712B6" w:rsidTr="00FF49DF">
        <w:trPr>
          <w:trHeight w:val="702"/>
        </w:trPr>
        <w:tc>
          <w:tcPr>
            <w:tcW w:w="946" w:type="dxa"/>
            <w:shd w:val="clear" w:color="auto" w:fill="D5DCE4" w:themeFill="text2" w:themeFillTint="33"/>
            <w:vAlign w:val="center"/>
          </w:tcPr>
          <w:p w:rsidR="00F95277" w:rsidRPr="00B712B6" w:rsidRDefault="00F95277" w:rsidP="00FF49DF">
            <w:pPr>
              <w:spacing w:line="400" w:lineRule="exact"/>
              <w:rPr>
                <w:b/>
                <w:color w:val="000000" w:themeColor="text1"/>
              </w:rPr>
            </w:pPr>
            <w:r w:rsidRPr="00B712B6">
              <w:rPr>
                <w:rFonts w:hint="eastAsia"/>
                <w:b/>
                <w:color w:val="000000" w:themeColor="text1"/>
              </w:rPr>
              <w:t>学校名</w:t>
            </w:r>
          </w:p>
        </w:tc>
        <w:tc>
          <w:tcPr>
            <w:tcW w:w="1828" w:type="dxa"/>
            <w:vAlign w:val="center"/>
          </w:tcPr>
          <w:p w:rsidR="00F95277" w:rsidRPr="00B712B6" w:rsidRDefault="00F95277" w:rsidP="00FF49DF">
            <w:pPr>
              <w:spacing w:line="40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学校</w:t>
            </w:r>
          </w:p>
        </w:tc>
        <w:tc>
          <w:tcPr>
            <w:tcW w:w="713" w:type="dxa"/>
            <w:shd w:val="clear" w:color="auto" w:fill="D5DCE4" w:themeFill="text2" w:themeFillTint="33"/>
            <w:vAlign w:val="center"/>
          </w:tcPr>
          <w:p w:rsidR="00F95277" w:rsidRPr="00B712B6" w:rsidRDefault="00F95277" w:rsidP="00FF49DF">
            <w:pPr>
              <w:spacing w:line="400" w:lineRule="exact"/>
              <w:rPr>
                <w:b/>
                <w:color w:val="000000" w:themeColor="text1"/>
              </w:rPr>
            </w:pPr>
            <w:r w:rsidRPr="00B712B6">
              <w:rPr>
                <w:rFonts w:hint="eastAsia"/>
                <w:b/>
                <w:color w:val="000000" w:themeColor="text1"/>
              </w:rPr>
              <w:t>学年</w:t>
            </w:r>
          </w:p>
        </w:tc>
        <w:tc>
          <w:tcPr>
            <w:tcW w:w="840" w:type="dxa"/>
            <w:vAlign w:val="center"/>
          </w:tcPr>
          <w:p w:rsidR="00F95277" w:rsidRPr="00B712B6" w:rsidRDefault="00F95277" w:rsidP="00FF49DF">
            <w:pPr>
              <w:spacing w:line="400" w:lineRule="exact"/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</w:p>
        </w:tc>
        <w:tc>
          <w:tcPr>
            <w:tcW w:w="702" w:type="dxa"/>
            <w:shd w:val="clear" w:color="auto" w:fill="D5DCE4" w:themeFill="text2" w:themeFillTint="33"/>
            <w:vAlign w:val="center"/>
          </w:tcPr>
          <w:p w:rsidR="00F95277" w:rsidRPr="00B712B6" w:rsidRDefault="00F95277" w:rsidP="00FF49DF">
            <w:pPr>
              <w:spacing w:line="400" w:lineRule="exac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B712B6">
              <w:rPr>
                <w:rFonts w:hint="eastAsia"/>
                <w:b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2592" w:type="dxa"/>
            <w:vAlign w:val="center"/>
          </w:tcPr>
          <w:p w:rsidR="00F95277" w:rsidRPr="00B712B6" w:rsidRDefault="00F95277" w:rsidP="00FF49DF">
            <w:pPr>
              <w:spacing w:line="52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:rsidR="00F95277" w:rsidRPr="00B712B6" w:rsidRDefault="00F95277" w:rsidP="00FF49DF">
            <w:pPr>
              <w:spacing w:line="400" w:lineRule="exact"/>
              <w:jc w:val="center"/>
              <w:rPr>
                <w:b/>
                <w:color w:val="000000" w:themeColor="text1"/>
              </w:rPr>
            </w:pPr>
            <w:r w:rsidRPr="00B712B6">
              <w:rPr>
                <w:rFonts w:hint="eastAsia"/>
                <w:b/>
                <w:color w:val="000000" w:themeColor="text1"/>
              </w:rPr>
              <w:t>記入者</w:t>
            </w:r>
          </w:p>
        </w:tc>
        <w:tc>
          <w:tcPr>
            <w:tcW w:w="993" w:type="dxa"/>
            <w:vAlign w:val="center"/>
          </w:tcPr>
          <w:p w:rsidR="00F95277" w:rsidRPr="00B712B6" w:rsidRDefault="00F95277" w:rsidP="00FF49DF">
            <w:pPr>
              <w:spacing w:line="520" w:lineRule="exac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F95277" w:rsidRDefault="00F95277" w:rsidP="00F95277">
      <w:pPr>
        <w:spacing w:line="160" w:lineRule="exac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</w:t>
      </w:r>
    </w:p>
    <w:p w:rsidR="00F95277" w:rsidRPr="0018557D" w:rsidRDefault="00F95277" w:rsidP="00F95277">
      <w:pPr>
        <w:spacing w:line="300" w:lineRule="exact"/>
        <w:rPr>
          <w:rFonts w:ascii="HG丸ｺﾞｼｯｸM-PRO" w:eastAsia="HG丸ｺﾞｼｯｸM-PRO" w:hAnsi="HG丸ｺﾞｼｯｸM-PRO"/>
          <w:u w:val="single"/>
        </w:rPr>
      </w:pPr>
      <w:r w:rsidRPr="00DB1334">
        <w:rPr>
          <w:rFonts w:ascii="HG丸ｺﾞｼｯｸM-PRO" w:eastAsia="HG丸ｺﾞｼｯｸM-PRO" w:hAnsi="HG丸ｺﾞｼｯｸM-PRO" w:hint="eastAsia"/>
          <w:u w:val="single"/>
        </w:rPr>
        <w:t xml:space="preserve">作成日　　　　</w:t>
      </w:r>
      <w:r w:rsidR="0053330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1334">
        <w:rPr>
          <w:rFonts w:ascii="HG丸ｺﾞｼｯｸM-PRO" w:eastAsia="HG丸ｺﾞｼｯｸM-PRO" w:hAnsi="HG丸ｺﾞｼｯｸM-PRO" w:hint="eastAsia"/>
          <w:u w:val="single"/>
        </w:rPr>
        <w:t xml:space="preserve">　年　　　　月　　</w:t>
      </w:r>
      <w:r w:rsidR="0053330F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DB1334">
        <w:rPr>
          <w:rFonts w:ascii="HG丸ｺﾞｼｯｸM-PRO" w:eastAsia="HG丸ｺﾞｼｯｸM-PRO" w:hAnsi="HG丸ｺﾞｼｯｸM-PRO" w:hint="eastAsia"/>
          <w:u w:val="single"/>
        </w:rPr>
        <w:t xml:space="preserve">　日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p w:rsidR="00F95277" w:rsidRDefault="00F95277" w:rsidP="00F95277">
      <w:pPr>
        <w:spacing w:line="100" w:lineRule="exact"/>
      </w:pPr>
    </w:p>
    <w:tbl>
      <w:tblPr>
        <w:tblStyle w:val="a3"/>
        <w:tblpPr w:leftFromText="142" w:rightFromText="142" w:vertAnchor="text" w:horzAnchor="margin" w:tblpX="108" w:tblpY="108"/>
        <w:tblW w:w="0" w:type="auto"/>
        <w:tblLook w:val="04A0" w:firstRow="1" w:lastRow="0" w:firstColumn="1" w:lastColumn="0" w:noHBand="0" w:noVBand="1"/>
      </w:tblPr>
      <w:tblGrid>
        <w:gridCol w:w="437"/>
        <w:gridCol w:w="2233"/>
        <w:gridCol w:w="5405"/>
        <w:gridCol w:w="992"/>
        <w:gridCol w:w="560"/>
      </w:tblGrid>
      <w:tr w:rsidR="00F95277" w:rsidTr="0032603A">
        <w:tc>
          <w:tcPr>
            <w:tcW w:w="437" w:type="dxa"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40" w:lineRule="exact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観点</w:t>
            </w:r>
          </w:p>
        </w:tc>
        <w:tc>
          <w:tcPr>
            <w:tcW w:w="2233" w:type="dxa"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40" w:lineRule="exact"/>
              <w:ind w:firstLineChars="100" w:firstLine="220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学校における</w:t>
            </w:r>
          </w:p>
          <w:p w:rsidR="00F95277" w:rsidRPr="00466AAC" w:rsidRDefault="00F95277" w:rsidP="00FF49DF">
            <w:pPr>
              <w:spacing w:line="240" w:lineRule="exact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合理的配慮の観点</w:t>
            </w:r>
          </w:p>
        </w:tc>
        <w:tc>
          <w:tcPr>
            <w:tcW w:w="5405" w:type="dxa"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40" w:lineRule="exact"/>
              <w:jc w:val="center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具体的な実施内容</w:t>
            </w:r>
          </w:p>
          <w:p w:rsidR="00F95277" w:rsidRPr="00466AAC" w:rsidRDefault="00F95277" w:rsidP="00FF49DF">
            <w:pPr>
              <w:spacing w:line="240" w:lineRule="exact"/>
              <w:jc w:val="center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（○従来から実施</w:t>
            </w:r>
            <w:r w:rsidR="00F622EF">
              <w:rPr>
                <w:rFonts w:hAnsi="HG丸ｺﾞｼｯｸM-PRO" w:hint="eastAsia"/>
                <w:b/>
                <w:szCs w:val="21"/>
              </w:rPr>
              <w:t xml:space="preserve"> </w:t>
            </w:r>
            <w:r w:rsidRPr="00466AAC">
              <w:rPr>
                <w:rFonts w:hAnsi="HG丸ｺﾞｼｯｸM-PRO" w:hint="eastAsia"/>
                <w:b/>
                <w:szCs w:val="21"/>
              </w:rPr>
              <w:t>★本年度から実施）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F95277" w:rsidRPr="00466AAC" w:rsidRDefault="00F95277" w:rsidP="00AD50EC">
            <w:pPr>
              <w:spacing w:line="240" w:lineRule="exact"/>
              <w:ind w:firstLineChars="50" w:firstLine="110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配慮</w:t>
            </w:r>
          </w:p>
          <w:p w:rsidR="00F95277" w:rsidRPr="00466AAC" w:rsidRDefault="00F95277" w:rsidP="00FF49DF">
            <w:pPr>
              <w:spacing w:line="240" w:lineRule="exact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する場</w:t>
            </w:r>
          </w:p>
        </w:tc>
        <w:tc>
          <w:tcPr>
            <w:tcW w:w="560" w:type="dxa"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40" w:lineRule="exact"/>
              <w:rPr>
                <w:rFonts w:hAnsi="HG丸ｺﾞｼｯｸM-PRO"/>
                <w:b/>
                <w:szCs w:val="21"/>
              </w:rPr>
            </w:pPr>
            <w:r w:rsidRPr="00466AAC">
              <w:rPr>
                <w:rFonts w:hAnsi="HG丸ｺﾞｼｯｸM-PRO" w:hint="eastAsia"/>
                <w:b/>
                <w:szCs w:val="21"/>
              </w:rPr>
              <w:t>評　価</w:t>
            </w:r>
          </w:p>
        </w:tc>
      </w:tr>
      <w:tr w:rsidR="00F95277" w:rsidTr="0032603A">
        <w:trPr>
          <w:trHeight w:val="2187"/>
        </w:trPr>
        <w:tc>
          <w:tcPr>
            <w:tcW w:w="437" w:type="dxa"/>
            <w:vMerge w:val="restart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jc w:val="center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教育内容</w:t>
            </w: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>
              <w:rPr>
                <w:rFonts w:hAnsi="HG丸ｺﾞｼｯｸM-PRO" w:hint="eastAsia"/>
                <w:b/>
              </w:rPr>
              <w:t>学習上又は生活上の</w:t>
            </w:r>
          </w:p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困難の改善・克服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2901"/>
        </w:trPr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学習内容の変更・調整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ind w:firstLineChars="100" w:firstLine="180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1337"/>
        </w:trPr>
        <w:tc>
          <w:tcPr>
            <w:tcW w:w="437" w:type="dxa"/>
            <w:vMerge w:val="restart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jc w:val="center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教育方法</w:t>
            </w: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情報・コミュニケーション及び教材の配慮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1089"/>
        </w:trPr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学習機会や体験の確保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1288"/>
        </w:trPr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心理面・健康面の配慮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710"/>
        </w:trPr>
        <w:tc>
          <w:tcPr>
            <w:tcW w:w="437" w:type="dxa"/>
            <w:vMerge w:val="restart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jc w:val="center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支援体制</w:t>
            </w: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専門性のある指導体制の整備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1018"/>
        </w:trPr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理解啓発を図るための配慮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災害時等の支援体制の整備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572"/>
        </w:trPr>
        <w:tc>
          <w:tcPr>
            <w:tcW w:w="437" w:type="dxa"/>
            <w:vMerge w:val="restart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jc w:val="center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施設整備</w:t>
            </w: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校内環境のバリアフリー化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572"/>
        </w:trPr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施設・整備の配慮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  <w:tr w:rsidR="00F95277" w:rsidTr="0032603A">
        <w:trPr>
          <w:trHeight w:val="572"/>
        </w:trPr>
        <w:tc>
          <w:tcPr>
            <w:tcW w:w="437" w:type="dxa"/>
            <w:vMerge/>
            <w:shd w:val="clear" w:color="auto" w:fill="D5DCE4" w:themeFill="text2" w:themeFillTint="33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</w:p>
        </w:tc>
        <w:tc>
          <w:tcPr>
            <w:tcW w:w="2233" w:type="dxa"/>
            <w:shd w:val="clear" w:color="auto" w:fill="D5DCE4" w:themeFill="text2" w:themeFillTint="33"/>
            <w:vAlign w:val="center"/>
          </w:tcPr>
          <w:p w:rsidR="00F95277" w:rsidRPr="00466AAC" w:rsidRDefault="00F95277" w:rsidP="00FF49DF">
            <w:pPr>
              <w:spacing w:line="260" w:lineRule="exact"/>
              <w:rPr>
                <w:rFonts w:hAnsi="HG丸ｺﾞｼｯｸM-PRO"/>
                <w:b/>
              </w:rPr>
            </w:pPr>
            <w:r w:rsidRPr="00466AAC">
              <w:rPr>
                <w:rFonts w:hAnsi="HG丸ｺﾞｼｯｸM-PRO" w:hint="eastAsia"/>
                <w:b/>
              </w:rPr>
              <w:t>災害時等への対応</w:t>
            </w:r>
          </w:p>
        </w:tc>
        <w:tc>
          <w:tcPr>
            <w:tcW w:w="5405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992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  <w:tc>
          <w:tcPr>
            <w:tcW w:w="560" w:type="dxa"/>
          </w:tcPr>
          <w:p w:rsidR="00F95277" w:rsidRPr="00CD0A45" w:rsidRDefault="00F95277" w:rsidP="00FF49DF">
            <w:pPr>
              <w:spacing w:line="220" w:lineRule="exact"/>
              <w:rPr>
                <w:rFonts w:hAnsi="HG丸ｺﾞｼｯｸM-PRO"/>
                <w:sz w:val="18"/>
                <w:szCs w:val="18"/>
              </w:rPr>
            </w:pPr>
          </w:p>
        </w:tc>
      </w:tr>
    </w:tbl>
    <w:p w:rsidR="00F95277" w:rsidRDefault="00F95277" w:rsidP="00F95277">
      <w:pPr>
        <w:spacing w:line="100" w:lineRule="exact"/>
      </w:pPr>
    </w:p>
    <w:p w:rsidR="00F95277" w:rsidRDefault="00F95277" w:rsidP="00F95277">
      <w:pPr>
        <w:spacing w:line="1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95277" w:rsidRDefault="00F95277" w:rsidP="00F95277">
      <w:pPr>
        <w:spacing w:line="1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:rsidR="00F95277" w:rsidRDefault="00F95277" w:rsidP="00F95277">
      <w:pPr>
        <w:spacing w:line="10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F95277" w:rsidSect="00934EA8">
      <w:pgSz w:w="11906" w:h="16838" w:code="9"/>
      <w:pgMar w:top="567" w:right="1134" w:bottom="567" w:left="1134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rawingGridVerticalSpacing w:val="1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77"/>
    <w:rsid w:val="000A0C7F"/>
    <w:rsid w:val="002046A0"/>
    <w:rsid w:val="00216CF6"/>
    <w:rsid w:val="002F278C"/>
    <w:rsid w:val="0032603A"/>
    <w:rsid w:val="00366BEB"/>
    <w:rsid w:val="003A59C3"/>
    <w:rsid w:val="004C781A"/>
    <w:rsid w:val="0053330F"/>
    <w:rsid w:val="006E27CB"/>
    <w:rsid w:val="0072374D"/>
    <w:rsid w:val="007739A4"/>
    <w:rsid w:val="00881E46"/>
    <w:rsid w:val="00932920"/>
    <w:rsid w:val="00934EA8"/>
    <w:rsid w:val="00A2382E"/>
    <w:rsid w:val="00A34397"/>
    <w:rsid w:val="00AB5335"/>
    <w:rsid w:val="00AD50EC"/>
    <w:rsid w:val="00B17042"/>
    <w:rsid w:val="00B75AD1"/>
    <w:rsid w:val="00CE5545"/>
    <w:rsid w:val="00D50C00"/>
    <w:rsid w:val="00E72B9C"/>
    <w:rsid w:val="00EB2897"/>
    <w:rsid w:val="00F622EF"/>
    <w:rsid w:val="00F95277"/>
    <w:rsid w:val="00FD7132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C6D13"/>
  <w15:chartTrackingRefBased/>
  <w15:docId w15:val="{649541E5-F81D-4FDD-8101-DD90CC5C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5277"/>
    <w:pPr>
      <w:widowControl w:val="0"/>
      <w:jc w:val="both"/>
    </w:pPr>
    <w:rPr>
      <w:rFonts w:ascii="UD デジタル 教科書体 NP-R" w:eastAsia="UD デジタル 教科書体 NP-R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5277"/>
    <w:rPr>
      <w:rFonts w:ascii="UD デジタル 教科書体 NP-R" w:eastAsia="UD デジタル 教科書体 NP-R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00248shinoda_r</dc:creator>
  <cp:keywords/>
  <dc:description/>
  <cp:lastModifiedBy>00376seriu_s</cp:lastModifiedBy>
  <cp:revision>5</cp:revision>
  <dcterms:created xsi:type="dcterms:W3CDTF">2021-02-16T02:57:00Z</dcterms:created>
  <dcterms:modified xsi:type="dcterms:W3CDTF">2023-06-06T05:31:00Z</dcterms:modified>
</cp:coreProperties>
</file>