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正社員、パート、アルバイト、日雇い労働者等、労働の形態を問わず、賃金を支払われる者（労働基準法第</w:t>
            </w:r>
            <w:r w:rsidR="00AA0B3B">
              <w:rPr>
                <w:rFonts w:ascii="ＭＳ 明朝" w:eastAsia="ＭＳ 明朝" w:hAnsi="ＭＳ 明朝" w:cs="ＭＳ 明朝" w:hint="eastAsia"/>
              </w:rPr>
              <w:t>9</w:t>
            </w:r>
            <w:r w:rsidRPr="00F055EC">
              <w:rPr>
                <w:rFonts w:ascii="ＭＳ 明朝" w:eastAsia="ＭＳ 明朝" w:hAnsi="ＭＳ 明朝" w:cs="ＭＳ 明朝"/>
              </w:rPr>
              <w:t xml:space="preserve">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382708" w:rsidP="0022287B">
            <w:pPr>
              <w:spacing w:after="0"/>
              <w:ind w:left="881"/>
              <w:rPr>
                <w:color w:val="auto"/>
              </w:rPr>
            </w:pPr>
            <w:r>
              <w:rPr>
                <w:rFonts w:ascii="ＭＳ 明朝" w:eastAsia="ＭＳ 明朝" w:hAnsi="ＭＳ 明朝" w:cs="ＭＳ 明朝" w:hint="eastAsia"/>
                <w:color w:val="auto"/>
                <w:sz w:val="24"/>
              </w:rPr>
              <w:t>1,010</w:t>
            </w:r>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bookmarkStart w:id="0" w:name="_GoBack"/>
      <w:bookmarkEnd w:id="0"/>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4CA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4F67"/>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708"/>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0B3B"/>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3437EE"/>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10</cp:revision>
  <cp:lastPrinted>2015-09-18T04:16:00Z</cp:lastPrinted>
  <dcterms:created xsi:type="dcterms:W3CDTF">2018-03-15T01:11:00Z</dcterms:created>
  <dcterms:modified xsi:type="dcterms:W3CDTF">2023-09-25T04:17:00Z</dcterms:modified>
</cp:coreProperties>
</file>