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0FBD10D4"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D35F4A">
        <w:rPr>
          <w:rFonts w:ascii="ＭＳ 明朝" w:hAnsi="ＭＳ 明朝" w:hint="eastAsia"/>
          <w:sz w:val="22"/>
          <w:szCs w:val="22"/>
        </w:rPr>
        <w:t>加東市長</w:t>
      </w:r>
      <w:r>
        <w:rPr>
          <w:rFonts w:ascii="ＭＳ 明朝" w:hAnsi="ＭＳ 明朝" w:hint="eastAsia"/>
          <w:sz w:val="22"/>
          <w:szCs w:val="22"/>
          <w:lang w:eastAsia="zh-TW"/>
        </w:rPr>
        <w:t xml:space="preserve">　</w:t>
      </w:r>
      <w:r w:rsidR="00D35F4A">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4619191B"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D35F4A">
        <w:rPr>
          <w:rFonts w:ascii="ＭＳ 明朝" w:hAnsi="ＭＳ 明朝" w:hint="eastAsia"/>
          <w:sz w:val="22"/>
          <w:szCs w:val="22"/>
          <w:u w:val="single"/>
        </w:rPr>
        <w:t>令和６年度　社会資本整備総合交付金事業　管路施設管更生工事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7C3B9A3F" w14:textId="77777777" w:rsidR="00D35F4A" w:rsidRDefault="00D35F4A"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建設業法（昭和24年法律第100号）に規定する土木工事業の建設業許可が確認できるもの※なお、支店等で登録している者については、その支店等で土木工事業の建設業許可を有することが確認できるもの</w:t>
      </w:r>
    </w:p>
    <w:p w14:paraId="41CF9396" w14:textId="77777777" w:rsidR="00D35F4A" w:rsidRDefault="00D35F4A"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経営規模等評価結果通知書の写し（最新のものかつ土木一式工事の完成工事高を有するもの）</w:t>
      </w:r>
    </w:p>
    <w:p w14:paraId="1EC89933" w14:textId="77777777" w:rsidR="00D35F4A" w:rsidRDefault="00D35F4A"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3C9B5DEF" w:rsidR="00F859D9" w:rsidRPr="0029546A" w:rsidRDefault="00D35F4A"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96584040">
    <w:abstractNumId w:val="3"/>
  </w:num>
  <w:num w:numId="2" w16cid:durableId="829751441">
    <w:abstractNumId w:val="0"/>
  </w:num>
  <w:num w:numId="3" w16cid:durableId="369914403">
    <w:abstractNumId w:val="1"/>
  </w:num>
  <w:num w:numId="4" w16cid:durableId="1820539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47AF"/>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0E62"/>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5F4A"/>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81</Words>
  <Characters>463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2024-07-25T11:28:00Z</dcterms:modified>
</cp:coreProperties>
</file>