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AD34D1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347FF4">
        <w:rPr>
          <w:rFonts w:ascii="ＭＳ 明朝" w:hAnsi="ＭＳ 明朝" w:hint="eastAsia"/>
          <w:sz w:val="22"/>
          <w:szCs w:val="22"/>
        </w:rPr>
        <w:t>加東市長</w:t>
      </w:r>
      <w:r>
        <w:rPr>
          <w:rFonts w:ascii="ＭＳ 明朝" w:hAnsi="ＭＳ 明朝" w:hint="eastAsia"/>
          <w:sz w:val="22"/>
          <w:szCs w:val="22"/>
          <w:lang w:eastAsia="zh-TW"/>
        </w:rPr>
        <w:t xml:space="preserve">　</w:t>
      </w:r>
      <w:r w:rsidR="00347FF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AEB96C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347FF4">
        <w:rPr>
          <w:rFonts w:ascii="ＭＳ 明朝" w:hAnsi="ＭＳ 明朝" w:hint="eastAsia"/>
          <w:sz w:val="22"/>
          <w:szCs w:val="22"/>
          <w:u w:val="single"/>
        </w:rPr>
        <w:t>令和８年度　上水道事業　市道多井田東２号線ほか老朽配水管更新工事詳細設計業務委託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2DC7CF5F" w14:textId="77777777" w:rsidR="00347FF4" w:rsidRDefault="0034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建設コンサルタント登録規程に基づく「上水道及び工業用水道部門」の登録が確認できる登録証の写し</w:t>
      </w:r>
    </w:p>
    <w:p w14:paraId="3A94A113" w14:textId="77777777" w:rsidR="00347FF4" w:rsidRDefault="0034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測量法（昭和24年法律第188号）に基づく測量業の登録が確認できる登録証明書の写し</w:t>
      </w:r>
    </w:p>
    <w:p w14:paraId="7076BEE4" w14:textId="77777777" w:rsidR="00347FF4" w:rsidRDefault="0034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4189083D" w:rsidR="00F859D9" w:rsidRPr="0029546A" w:rsidRDefault="00347FF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2076298">
    <w:abstractNumId w:val="3"/>
  </w:num>
  <w:num w:numId="2" w16cid:durableId="800726591">
    <w:abstractNumId w:val="0"/>
  </w:num>
  <w:num w:numId="3" w16cid:durableId="1452825960">
    <w:abstractNumId w:val="1"/>
  </w:num>
  <w:num w:numId="4" w16cid:durableId="42253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47FF4"/>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2026-06-02T00:27:00Z</dcterms:modified>
</cp:coreProperties>
</file>