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FE41FB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034F23">
        <w:rPr>
          <w:rFonts w:ascii="ＭＳ 明朝" w:hAnsi="ＭＳ 明朝" w:hint="eastAsia"/>
          <w:sz w:val="22"/>
          <w:szCs w:val="22"/>
        </w:rPr>
        <w:t>加東市長</w:t>
      </w:r>
      <w:r>
        <w:rPr>
          <w:rFonts w:ascii="ＭＳ 明朝" w:hAnsi="ＭＳ 明朝" w:hint="eastAsia"/>
          <w:sz w:val="22"/>
          <w:szCs w:val="22"/>
          <w:lang w:eastAsia="zh-TW"/>
        </w:rPr>
        <w:t xml:space="preserve">　</w:t>
      </w:r>
      <w:r w:rsidR="00034F23">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D029D1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034F23">
        <w:rPr>
          <w:rFonts w:ascii="ＭＳ 明朝" w:hAnsi="ＭＳ 明朝" w:hint="eastAsia"/>
          <w:sz w:val="22"/>
          <w:szCs w:val="22"/>
          <w:u w:val="single"/>
        </w:rPr>
        <w:t>令和８年度　社会資本整備総合交付金事業　いきいき広場ほか遊具更新工事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4139082" w14:textId="77777777" w:rsidR="00034F23" w:rsidRDefault="00034F23"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建設業法（昭和24年法律第100号）に規定する造園工事業の建設業許可が確認できるもの</w:t>
      </w:r>
    </w:p>
    <w:p w14:paraId="7521FDBA" w14:textId="77777777" w:rsidR="00034F23" w:rsidRDefault="00034F23"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（最新のものかつ造園工事の完成工事高を有するもの）</w:t>
      </w:r>
    </w:p>
    <w:p w14:paraId="1705D020" w14:textId="77777777" w:rsidR="00034F23" w:rsidRDefault="00034F23"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28FDF04" w:rsidR="00F859D9" w:rsidRPr="0029546A" w:rsidRDefault="00034F23"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79407226">
    <w:abstractNumId w:val="3"/>
  </w:num>
  <w:num w:numId="2" w16cid:durableId="1312901320">
    <w:abstractNumId w:val="0"/>
  </w:num>
  <w:num w:numId="3" w16cid:durableId="1171989321">
    <w:abstractNumId w:val="1"/>
  </w:num>
  <w:num w:numId="4" w16cid:durableId="133447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34F23"/>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2026-07-14T23:59:00Z</dcterms:modified>
</cp:coreProperties>
</file>