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02034EEF"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BD0EC1">
        <w:rPr>
          <w:rFonts w:ascii="ＭＳ 明朝" w:hAnsi="ＭＳ 明朝" w:hint="eastAsia"/>
          <w:sz w:val="22"/>
          <w:szCs w:val="22"/>
        </w:rPr>
        <w:t>加東市長</w:t>
      </w:r>
      <w:r>
        <w:rPr>
          <w:rFonts w:ascii="ＭＳ 明朝" w:hAnsi="ＭＳ 明朝" w:hint="eastAsia"/>
          <w:sz w:val="22"/>
          <w:szCs w:val="22"/>
          <w:lang w:eastAsia="zh-TW"/>
        </w:rPr>
        <w:t xml:space="preserve">　</w:t>
      </w:r>
      <w:r w:rsidR="00BD0EC1">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561162B0"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BD0EC1">
        <w:rPr>
          <w:rFonts w:ascii="ＭＳ 明朝" w:hAnsi="ＭＳ 明朝" w:hint="eastAsia"/>
          <w:sz w:val="22"/>
          <w:szCs w:val="22"/>
          <w:u w:val="single"/>
        </w:rPr>
        <w:t>令和８年度　下水道事業　せせらぎ東条汚泥脱水設備分解整備工事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5525A29B" w14:textId="77777777" w:rsidR="00BD0EC1" w:rsidRDefault="00BD0EC1"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建設業法（昭和24年法律第100号）に規定する機械器具設置工事業の建設業許可が確認できるもの※なお、支店等で登録している者については、その支店等で機械器具設置工事業の建設業許可が確認できるもの</w:t>
      </w:r>
    </w:p>
    <w:p w14:paraId="220D0402" w14:textId="77777777" w:rsidR="00BD0EC1" w:rsidRDefault="00BD0EC1"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経営規模等評価結果通知書の写し（最新のものかつ機械器具設置工事の完成工事高を有するもの）</w:t>
      </w:r>
    </w:p>
    <w:p w14:paraId="0017DB12" w14:textId="77777777" w:rsidR="00BD0EC1" w:rsidRDefault="00BD0EC1"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522228C8" w:rsidR="00F859D9" w:rsidRPr="0029546A" w:rsidRDefault="00BD0EC1"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60211122">
    <w:abstractNumId w:val="3"/>
  </w:num>
  <w:num w:numId="2" w16cid:durableId="440536290">
    <w:abstractNumId w:val="0"/>
  </w:num>
  <w:num w:numId="3" w16cid:durableId="205410020">
    <w:abstractNumId w:val="1"/>
  </w:num>
  <w:num w:numId="4" w16cid:durableId="108820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0EC1"/>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78</Words>
  <Characters>448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